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002B7AFE" w:rsidP="44DA2E26" w:rsidRDefault="00745CCA" w14:paraId="791013CA" wp14:textId="73D0DADC">
      <w:pPr>
        <w:shd w:val="clear" w:color="auto" w:fill="FFFFFF" w:themeFill="background1"/>
        <w:jc w:val="center"/>
        <w:rPr>
          <w:rFonts w:ascii="Arial" w:hAnsi="Arial" w:eastAsia="Arial" w:cs="Arial"/>
          <w:sz w:val="36"/>
          <w:szCs w:val="36"/>
        </w:rPr>
      </w:pPr>
      <w:r w:rsidRPr="44DA2E26" w:rsidR="00745CCA">
        <w:rPr>
          <w:rFonts w:ascii="Arial" w:hAnsi="Arial" w:eastAsia="Arial" w:cs="Arial"/>
          <w:b w:val="1"/>
          <w:bCs w:val="1"/>
          <w:sz w:val="36"/>
          <w:szCs w:val="36"/>
        </w:rPr>
        <w:t>5 consejos para cumplir</w:t>
      </w:r>
    </w:p>
    <w:p xmlns:wp14="http://schemas.microsoft.com/office/word/2010/wordml" w:rsidR="002B7AFE" w:rsidP="44DA2E26" w:rsidRDefault="00745CCA" w14:paraId="0CF6FE1C" wp14:textId="64CEC084">
      <w:pPr>
        <w:shd w:val="clear" w:color="auto" w:fill="FFFFFF" w:themeFill="background1"/>
        <w:jc w:val="center"/>
        <w:rPr>
          <w:rFonts w:ascii="Arial" w:hAnsi="Arial" w:eastAsia="Arial" w:cs="Arial"/>
          <w:sz w:val="36"/>
          <w:szCs w:val="36"/>
        </w:rPr>
      </w:pPr>
      <w:r w:rsidRPr="44DA2E26" w:rsidR="00745CCA">
        <w:rPr>
          <w:rFonts w:ascii="Arial" w:hAnsi="Arial" w:eastAsia="Arial" w:cs="Arial"/>
          <w:b w:val="1"/>
          <w:bCs w:val="1"/>
          <w:sz w:val="36"/>
          <w:szCs w:val="36"/>
        </w:rPr>
        <w:t>con tu crédito en tiempo y forma</w:t>
      </w:r>
      <w:r w:rsidRPr="44DA2E26" w:rsidR="00745CCA">
        <w:rPr>
          <w:rFonts w:ascii="Arial" w:hAnsi="Arial" w:eastAsia="Arial" w:cs="Arial"/>
          <w:sz w:val="36"/>
          <w:szCs w:val="36"/>
        </w:rPr>
        <w:t xml:space="preserve"> </w:t>
      </w:r>
    </w:p>
    <w:p xmlns:wp14="http://schemas.microsoft.com/office/word/2010/wordml" w:rsidR="002B7AFE" w:rsidP="44DA2E26" w:rsidRDefault="00745CCA" w14:paraId="48BAA636" wp14:textId="14278670">
      <w:pPr>
        <w:shd w:val="clear" w:color="auto" w:fill="FFFFFF" w:themeFill="background1"/>
        <w:jc w:val="both"/>
        <w:rPr>
          <w:rFonts w:ascii="Arial" w:hAnsi="Arial" w:eastAsia="Arial" w:cs="Arial"/>
        </w:rPr>
      </w:pPr>
      <w:r w:rsidRPr="44DA2E26" w:rsidR="00745CCA">
        <w:rPr>
          <w:rFonts w:ascii="Arial" w:hAnsi="Arial" w:eastAsia="Arial" w:cs="Arial"/>
        </w:rPr>
        <w:t xml:space="preserve">CIUDAD DE MÉXICO. </w:t>
      </w:r>
      <w:r w:rsidRPr="44DA2E26" w:rsidR="00C0A63C">
        <w:rPr>
          <w:rFonts w:ascii="Arial" w:hAnsi="Arial" w:eastAsia="Arial" w:cs="Arial"/>
        </w:rPr>
        <w:t xml:space="preserve">11 </w:t>
      </w:r>
      <w:r w:rsidRPr="44DA2E26" w:rsidR="00745CCA">
        <w:rPr>
          <w:rFonts w:ascii="Arial" w:hAnsi="Arial" w:eastAsia="Arial" w:cs="Arial"/>
        </w:rPr>
        <w:t>de septiembre de 2024.- La adquisición de un crédito, para millones de mexicanos, es un reto en la actualidad. Datos del</w:t>
      </w:r>
      <w:hyperlink r:id="R578314205b6b4cda">
        <w:r w:rsidRPr="44DA2E26" w:rsidR="00745CCA">
          <w:rPr>
            <w:rFonts w:ascii="Arial" w:hAnsi="Arial" w:eastAsia="Arial" w:cs="Arial"/>
          </w:rPr>
          <w:t xml:space="preserve"> </w:t>
        </w:r>
      </w:hyperlink>
      <w:hyperlink r:id="R1e7ca5c7c245416e">
        <w:r w:rsidRPr="44DA2E26" w:rsidR="00745CCA">
          <w:rPr>
            <w:rFonts w:ascii="Arial" w:hAnsi="Arial" w:eastAsia="Arial" w:cs="Arial"/>
            <w:color w:val="467886"/>
            <w:u w:val="single"/>
          </w:rPr>
          <w:t>Banco de México</w:t>
        </w:r>
      </w:hyperlink>
      <w:r w:rsidRPr="44DA2E26" w:rsidR="00745CCA">
        <w:rPr>
          <w:rFonts w:ascii="Arial" w:hAnsi="Arial" w:eastAsia="Arial" w:cs="Arial"/>
        </w:rPr>
        <w:t xml:space="preserve"> (Banxico), indican que la tasa de morosidad ha crecido al 3.40% este año, desde el 2.94% de 2022.  </w:t>
      </w:r>
      <w:r>
        <w:br/>
      </w:r>
      <w:r w:rsidRPr="44DA2E26" w:rsidR="00745CCA">
        <w:rPr>
          <w:rFonts w:ascii="Arial" w:hAnsi="Arial" w:eastAsia="Arial" w:cs="Arial"/>
        </w:rPr>
        <w:t xml:space="preserve"> </w:t>
      </w:r>
      <w:r>
        <w:br/>
      </w:r>
      <w:r w:rsidRPr="44DA2E26" w:rsidR="00745CCA">
        <w:rPr>
          <w:rFonts w:ascii="Arial" w:hAnsi="Arial" w:eastAsia="Arial" w:cs="Arial"/>
        </w:rPr>
        <w:t xml:space="preserve">Este aumento evidencia un problema estructural: la creciente dificultad de los mexicanos para cumplir con sus créditos, lo que convierte las deudas en una bola de nieve difícil de detener. Entre las causas principales de esta situación se encuentran la falta de educación financiera y los créditos mal diseñados o poco accesibles, que solo complican la situación de los usuarios.  </w:t>
      </w:r>
    </w:p>
    <w:p xmlns:wp14="http://schemas.microsoft.com/office/word/2010/wordml" w:rsidR="002B7AFE" w:rsidRDefault="00745CCA" w14:paraId="07217D1A" wp14:textId="77777777">
      <w:pPr>
        <w:shd w:val="clear" w:color="auto" w:fill="FFFFFF"/>
        <w:jc w:val="both"/>
        <w:rPr>
          <w:rFonts w:ascii="Arial" w:hAnsi="Arial" w:eastAsia="Arial" w:cs="Arial"/>
        </w:rPr>
      </w:pPr>
      <w:r>
        <w:rPr>
          <w:rFonts w:ascii="Arial" w:hAnsi="Arial" w:eastAsia="Arial" w:cs="Arial"/>
        </w:rPr>
        <w:t>A pesar de esto, la demanda de créditos en el país sigue en aumento: el saldo promedio de este tipo del crédito personal en México creció un 9.4 por ciento en términos reales este año, y los microcréditos, un 15.6 por ciento, según</w:t>
      </w:r>
      <w:hyperlink r:id="rId9">
        <w:r>
          <w:rPr>
            <w:rFonts w:ascii="Arial" w:hAnsi="Arial" w:eastAsia="Arial" w:cs="Arial"/>
          </w:rPr>
          <w:t xml:space="preserve"> </w:t>
        </w:r>
      </w:hyperlink>
      <w:hyperlink r:id="rId10">
        <w:r>
          <w:rPr>
            <w:rFonts w:ascii="Arial" w:hAnsi="Arial" w:eastAsia="Arial" w:cs="Arial"/>
            <w:color w:val="467886"/>
            <w:u w:val="single"/>
          </w:rPr>
          <w:t>Banxico.</w:t>
        </w:r>
      </w:hyperlink>
      <w:r>
        <w:rPr>
          <w:rFonts w:ascii="Arial" w:hAnsi="Arial" w:eastAsia="Arial" w:cs="Arial"/>
        </w:rPr>
        <w:t xml:space="preserve"> </w:t>
      </w:r>
    </w:p>
    <w:p xmlns:wp14="http://schemas.microsoft.com/office/word/2010/wordml" w:rsidR="002B7AFE" w:rsidRDefault="00745CCA" w14:paraId="05761F9F" wp14:textId="77777777">
      <w:pPr>
        <w:shd w:val="clear" w:color="auto" w:fill="FFFFFF"/>
        <w:jc w:val="both"/>
        <w:rPr>
          <w:rFonts w:ascii="Arial" w:hAnsi="Arial" w:eastAsia="Arial" w:cs="Arial"/>
        </w:rPr>
      </w:pPr>
      <w:r>
        <w:rPr>
          <w:rFonts w:ascii="Arial" w:hAnsi="Arial" w:eastAsia="Arial" w:cs="Arial"/>
        </w:rPr>
        <w:t xml:space="preserve">“Cumplir con un crédito en tiempo y forma no solo es un desafío, es una necesidad para mejorar la estabilidad económica de las personas. Pero lo que los usuarios requieren para lograrlo no es un esquema rígido de cobranza que no comprenda su situación, sino un aliado empático que le brinde confianza y lo guíe mediante productos que realmente se apeguen a su estilo de vida”, señala Alejandra Ruiz, Sr. Commercial Operations Manager de PayJoy México. </w:t>
      </w:r>
    </w:p>
    <w:p xmlns:wp14="http://schemas.microsoft.com/office/word/2010/wordml" w:rsidR="002B7AFE" w:rsidRDefault="00745CCA" w14:paraId="309C0135" wp14:textId="77777777">
      <w:pPr>
        <w:shd w:val="clear" w:color="auto" w:fill="FFFFFF"/>
        <w:jc w:val="both"/>
        <w:rPr>
          <w:rFonts w:ascii="Arial" w:hAnsi="Arial" w:eastAsia="Arial" w:cs="Arial"/>
        </w:rPr>
      </w:pPr>
      <w:r>
        <w:rPr>
          <w:rFonts w:ascii="Arial" w:hAnsi="Arial" w:eastAsia="Arial" w:cs="Arial"/>
        </w:rPr>
        <w:t xml:space="preserve">Bajo ese contexto, PayJoy comparte cinco consejos prácticos para evitar caer en la trampa del impago y crear un historial crediticio positivo. </w:t>
      </w:r>
    </w:p>
    <w:p xmlns:wp14="http://schemas.microsoft.com/office/word/2010/wordml" w:rsidR="002B7AFE" w:rsidRDefault="00745CCA" w14:paraId="1D49324F" wp14:textId="77777777">
      <w:pPr>
        <w:shd w:val="clear" w:color="auto" w:fill="FFFFFF"/>
        <w:jc w:val="both"/>
        <w:rPr>
          <w:rFonts w:ascii="Arial" w:hAnsi="Arial" w:eastAsia="Arial" w:cs="Arial"/>
          <w:sz w:val="28"/>
          <w:szCs w:val="28"/>
        </w:rPr>
      </w:pPr>
      <w:r>
        <w:rPr>
          <w:rFonts w:ascii="Arial" w:hAnsi="Arial" w:eastAsia="Arial" w:cs="Arial"/>
          <w:b/>
          <w:sz w:val="28"/>
          <w:szCs w:val="28"/>
        </w:rPr>
        <w:t>1. Conoce tus límites y planifica tus pagos</w:t>
      </w:r>
      <w:r>
        <w:rPr>
          <w:rFonts w:ascii="Arial" w:hAnsi="Arial" w:eastAsia="Arial" w:cs="Arial"/>
          <w:sz w:val="28"/>
          <w:szCs w:val="28"/>
        </w:rPr>
        <w:t xml:space="preserve"> </w:t>
      </w:r>
    </w:p>
    <w:p xmlns:wp14="http://schemas.microsoft.com/office/word/2010/wordml" w:rsidR="002B7AFE" w:rsidRDefault="00745CCA" w14:paraId="6D445BFF" wp14:textId="77777777">
      <w:pPr>
        <w:shd w:val="clear" w:color="auto" w:fill="FFFFFF"/>
        <w:jc w:val="both"/>
        <w:rPr>
          <w:rFonts w:ascii="Arial" w:hAnsi="Arial" w:eastAsia="Arial" w:cs="Arial"/>
        </w:rPr>
      </w:pPr>
      <w:r>
        <w:rPr>
          <w:rFonts w:ascii="Arial" w:hAnsi="Arial" w:eastAsia="Arial" w:cs="Arial"/>
        </w:rPr>
        <w:t xml:space="preserve">Antes de aceptar cualquier crédito, es fundamental evaluar tu capacidad real de pago. Uno de los errores más comunes es aceptar un crédito sin considerar cómo afectará a tu presupuesto mensual. Haz un análisis detallado de tus ingresos y egresos para saber cuánto puedes destinar al pago de tu crédito sin afectar tus necesidades básicas. Planifica tus pagos y establece recordatorios para que no se te pase ninguna fecha. </w:t>
      </w:r>
    </w:p>
    <w:p xmlns:wp14="http://schemas.microsoft.com/office/word/2010/wordml" w:rsidR="002B7AFE" w:rsidRDefault="00745CCA" w14:paraId="5613E8FE" wp14:textId="77777777">
      <w:pPr>
        <w:shd w:val="clear" w:color="auto" w:fill="FFFFFF"/>
        <w:jc w:val="both"/>
        <w:rPr>
          <w:rFonts w:ascii="Arial" w:hAnsi="Arial" w:eastAsia="Arial" w:cs="Arial"/>
          <w:sz w:val="28"/>
          <w:szCs w:val="28"/>
        </w:rPr>
      </w:pPr>
      <w:r>
        <w:rPr>
          <w:rFonts w:ascii="Arial" w:hAnsi="Arial" w:eastAsia="Arial" w:cs="Arial"/>
          <w:b/>
          <w:sz w:val="28"/>
          <w:szCs w:val="28"/>
        </w:rPr>
        <w:t>2. La regla vs las compras compulsivas</w:t>
      </w:r>
      <w:r>
        <w:rPr>
          <w:rFonts w:ascii="Arial" w:hAnsi="Arial" w:eastAsia="Arial" w:cs="Arial"/>
          <w:sz w:val="28"/>
          <w:szCs w:val="28"/>
        </w:rPr>
        <w:t xml:space="preserve"> </w:t>
      </w:r>
    </w:p>
    <w:p xmlns:wp14="http://schemas.microsoft.com/office/word/2010/wordml" w:rsidR="002B7AFE" w:rsidRDefault="00745CCA" w14:paraId="789BF8C1" wp14:textId="77777777">
      <w:pPr>
        <w:shd w:val="clear" w:color="auto" w:fill="FFFFFF"/>
        <w:jc w:val="both"/>
        <w:rPr>
          <w:rFonts w:ascii="Arial" w:hAnsi="Arial" w:eastAsia="Arial" w:cs="Arial"/>
        </w:rPr>
      </w:pPr>
      <w:r>
        <w:rPr>
          <w:rFonts w:ascii="Arial" w:hAnsi="Arial" w:eastAsia="Arial" w:cs="Arial"/>
        </w:rPr>
        <w:t xml:space="preserve">PayJoy recomienda seguir la "regla de las 72 horas" para evitar las compras compulsivas. Esta consiste en detenerte y reflexionar sobre una compra potencial durante tres días, lo que ayuda a reducir el impulso por comprar y pensar fríamente si esa compra la necesitas o sólo crees que la necesitas.  </w:t>
      </w:r>
      <w:r>
        <w:rPr>
          <w:rFonts w:ascii="Arial" w:hAnsi="Arial" w:eastAsia="Arial" w:cs="Arial"/>
        </w:rPr>
        <w:br/>
      </w:r>
      <w:r>
        <w:rPr>
          <w:rFonts w:ascii="Arial" w:hAnsi="Arial" w:eastAsia="Arial" w:cs="Arial"/>
        </w:rPr>
        <w:t xml:space="preserve"> </w:t>
      </w:r>
      <w:r>
        <w:rPr>
          <w:rFonts w:ascii="Arial" w:hAnsi="Arial" w:eastAsia="Arial" w:cs="Arial"/>
        </w:rPr>
        <w:br/>
      </w:r>
      <w:r>
        <w:rPr>
          <w:rFonts w:ascii="Arial" w:hAnsi="Arial" w:eastAsia="Arial" w:cs="Arial"/>
        </w:rPr>
        <w:t xml:space="preserve">De este modo tomarás decisiones más racionales y pedirás préstamos únicamente para lo verdaderamente importante. Evitar gastos innecesarios te ayudará a mantenerte enfocado en tus objetivos financieros.  </w:t>
      </w:r>
    </w:p>
    <w:p xmlns:wp14="http://schemas.microsoft.com/office/word/2010/wordml" w:rsidR="002B7AFE" w:rsidRDefault="00745CCA" w14:paraId="25499319" wp14:textId="77777777">
      <w:pPr>
        <w:shd w:val="clear" w:color="auto" w:fill="FFFFFF"/>
        <w:jc w:val="both"/>
        <w:rPr>
          <w:rFonts w:ascii="Arial" w:hAnsi="Arial" w:eastAsia="Arial" w:cs="Arial"/>
          <w:sz w:val="28"/>
          <w:szCs w:val="28"/>
        </w:rPr>
      </w:pPr>
      <w:r>
        <w:rPr>
          <w:rFonts w:ascii="Arial" w:hAnsi="Arial" w:eastAsia="Arial" w:cs="Arial"/>
          <w:b/>
          <w:sz w:val="28"/>
          <w:szCs w:val="28"/>
        </w:rPr>
        <w:t>3. Comunícate con tu financiera si enfrentas dificultades</w:t>
      </w:r>
      <w:r>
        <w:rPr>
          <w:rFonts w:ascii="Arial" w:hAnsi="Arial" w:eastAsia="Arial" w:cs="Arial"/>
          <w:sz w:val="28"/>
          <w:szCs w:val="28"/>
        </w:rPr>
        <w:t xml:space="preserve"> </w:t>
      </w:r>
    </w:p>
    <w:p xmlns:wp14="http://schemas.microsoft.com/office/word/2010/wordml" w:rsidR="002B7AFE" w:rsidRDefault="00745CCA" w14:paraId="57DC6D4D" wp14:textId="77777777">
      <w:pPr>
        <w:shd w:val="clear" w:color="auto" w:fill="FFFFFF"/>
        <w:jc w:val="both"/>
        <w:rPr>
          <w:rFonts w:ascii="Arial" w:hAnsi="Arial" w:eastAsia="Arial" w:cs="Arial"/>
        </w:rPr>
      </w:pPr>
      <w:r>
        <w:rPr>
          <w:rFonts w:ascii="Arial" w:hAnsi="Arial" w:eastAsia="Arial" w:cs="Arial"/>
        </w:rPr>
        <w:t xml:space="preserve">Uno de los mayores errores que cometen los usuarios de crédito es evitar la comunicación con su prestamista cuando surgen problemas financieros. Si prevés que no podrás cubrir una mensualidad a tiempo, lo mejor es hablar con tu institución financiera. PayJoy, por ejemplo, permite que los usuarios realicen pagos flexibles y ofrece asistencia personalizada para ayudar a quienes enfrentan dificultades. No esperar a que la situación se salga de control es clave para encontrar soluciones a tiempo. </w:t>
      </w:r>
    </w:p>
    <w:p xmlns:wp14="http://schemas.microsoft.com/office/word/2010/wordml" w:rsidR="002B7AFE" w:rsidRDefault="00745CCA" w14:paraId="0535CB9E" wp14:textId="77777777">
      <w:pPr>
        <w:shd w:val="clear" w:color="auto" w:fill="FFFFFF"/>
        <w:jc w:val="both"/>
        <w:rPr>
          <w:rFonts w:ascii="Arial" w:hAnsi="Arial" w:eastAsia="Arial" w:cs="Arial"/>
          <w:sz w:val="28"/>
          <w:szCs w:val="28"/>
        </w:rPr>
      </w:pPr>
      <w:r>
        <w:rPr>
          <w:rFonts w:ascii="Arial" w:hAnsi="Arial" w:eastAsia="Arial" w:cs="Arial"/>
          <w:b/>
          <w:sz w:val="28"/>
          <w:szCs w:val="28"/>
        </w:rPr>
        <w:t>4. Utiliza herramientas digitales para gestionar tus pagos</w:t>
      </w:r>
      <w:r>
        <w:rPr>
          <w:rFonts w:ascii="Arial" w:hAnsi="Arial" w:eastAsia="Arial" w:cs="Arial"/>
          <w:sz w:val="28"/>
          <w:szCs w:val="28"/>
        </w:rPr>
        <w:t xml:space="preserve"> </w:t>
      </w:r>
    </w:p>
    <w:p xmlns:wp14="http://schemas.microsoft.com/office/word/2010/wordml" w:rsidR="002B7AFE" w:rsidRDefault="00745CCA" w14:paraId="2790884F" wp14:textId="77777777">
      <w:pPr>
        <w:shd w:val="clear" w:color="auto" w:fill="FFFFFF"/>
        <w:jc w:val="both"/>
        <w:rPr>
          <w:rFonts w:ascii="Arial" w:hAnsi="Arial" w:eastAsia="Arial" w:cs="Arial"/>
        </w:rPr>
      </w:pPr>
      <w:r>
        <w:rPr>
          <w:rFonts w:ascii="Arial" w:hAnsi="Arial" w:eastAsia="Arial" w:cs="Arial"/>
        </w:rPr>
        <w:t>En la era digital, no aprovechar las herramientas que te facilitan la vida financiera es un desperdicio. Existen múltiples aplicaciones que te ayudan a organizar tus finanzas, establecer recordatorios y gestionar tus pagos. Además, muchas plataformas como PayJoy te permiten realizar tus pagos de manera sencilla desde una aplicación o en tiendas de conveniencia, lo que facilita cumplir con tus obligaciones a tiempo. El uso de estos instrumentos digitales te permite mantener un mejor control de tus finanzas s</w:t>
      </w:r>
      <w:r>
        <w:rPr>
          <w:rFonts w:ascii="Arial" w:hAnsi="Arial" w:eastAsia="Arial" w:cs="Arial"/>
        </w:rPr>
        <w:t xml:space="preserve">in complicaciones. </w:t>
      </w:r>
    </w:p>
    <w:p xmlns:wp14="http://schemas.microsoft.com/office/word/2010/wordml" w:rsidR="002B7AFE" w:rsidRDefault="00745CCA" w14:paraId="55E5439B" wp14:textId="77777777">
      <w:pPr>
        <w:shd w:val="clear" w:color="auto" w:fill="FFFFFF"/>
        <w:jc w:val="both"/>
        <w:rPr>
          <w:rFonts w:ascii="Arial" w:hAnsi="Arial" w:eastAsia="Arial" w:cs="Arial"/>
          <w:sz w:val="28"/>
          <w:szCs w:val="28"/>
        </w:rPr>
      </w:pPr>
      <w:r>
        <w:rPr>
          <w:rFonts w:ascii="Arial" w:hAnsi="Arial" w:eastAsia="Arial" w:cs="Arial"/>
          <w:b/>
          <w:sz w:val="28"/>
          <w:szCs w:val="28"/>
        </w:rPr>
        <w:t xml:space="preserve">5. Evita los pagos mínimos y haz pagos adicionales </w:t>
      </w:r>
      <w:r>
        <w:rPr>
          <w:rFonts w:ascii="Arial" w:hAnsi="Arial" w:eastAsia="Arial" w:cs="Arial"/>
          <w:sz w:val="28"/>
          <w:szCs w:val="28"/>
        </w:rPr>
        <w:t xml:space="preserve"> </w:t>
      </w:r>
    </w:p>
    <w:p xmlns:wp14="http://schemas.microsoft.com/office/word/2010/wordml" w:rsidR="002B7AFE" w:rsidRDefault="00745CCA" w14:paraId="76FD0C6C" wp14:textId="77777777">
      <w:pPr>
        <w:shd w:val="clear" w:color="auto" w:fill="FFFFFF"/>
        <w:jc w:val="both"/>
        <w:rPr>
          <w:rFonts w:ascii="Arial" w:hAnsi="Arial" w:eastAsia="Arial" w:cs="Arial"/>
        </w:rPr>
      </w:pPr>
      <w:r>
        <w:rPr>
          <w:rFonts w:ascii="Arial" w:hAnsi="Arial" w:eastAsia="Arial" w:cs="Arial"/>
        </w:rPr>
        <w:t xml:space="preserve">El pago mínimo puede parecer tentador, pero es una de las trampas que te puede llevar a la acumulación de deudas. Siempre que te sea posible, realiza pagos adicionales a tu cuota mensual. Esto no solo te ayudará a liquidar tu deuda más rápido, sino que también reducirás el interés acumulado. De este modo, cumplirás con tu crédito de manera más eficiente y liberarás recursos para otras necesidades. </w:t>
      </w:r>
    </w:p>
    <w:p xmlns:wp14="http://schemas.microsoft.com/office/word/2010/wordml" w:rsidR="002B7AFE" w:rsidRDefault="00745CCA" w14:paraId="686005DD" wp14:textId="77777777">
      <w:pPr>
        <w:shd w:val="clear" w:color="auto" w:fill="FFFFFF"/>
        <w:jc w:val="both"/>
        <w:rPr>
          <w:rFonts w:ascii="Arial" w:hAnsi="Arial" w:eastAsia="Arial" w:cs="Arial"/>
        </w:rPr>
      </w:pPr>
      <w:r>
        <w:rPr>
          <w:rFonts w:ascii="Arial" w:hAnsi="Arial" w:eastAsia="Arial" w:cs="Arial"/>
        </w:rPr>
        <w:t xml:space="preserve">Cumplir con tus créditos en tiempo y forma no solo mejora tu historial crediticio, sino que te permite mantener una estabilidad financiera a largo plazo. En un entorno en el que la demanda de crédito sigue creciendo y la morosidad también aumenta, es más importante que nunca educarse financieramente y aplicar estrategias efectivas para evitar caer en la bola de nieve del endeudamiento. </w:t>
      </w:r>
    </w:p>
    <w:p xmlns:wp14="http://schemas.microsoft.com/office/word/2010/wordml" w:rsidR="002B7AFE" w:rsidRDefault="00745CCA" w14:paraId="29D6B04F" wp14:textId="77777777">
      <w:pPr>
        <w:shd w:val="clear" w:color="auto" w:fill="FFFFFF"/>
        <w:jc w:val="both"/>
        <w:rPr>
          <w:rFonts w:ascii="Arial" w:hAnsi="Arial" w:eastAsia="Arial" w:cs="Arial"/>
        </w:rPr>
      </w:pPr>
      <w:r>
        <w:rPr>
          <w:rFonts w:ascii="Arial" w:hAnsi="Arial" w:eastAsia="Arial" w:cs="Arial"/>
        </w:rPr>
        <w:t xml:space="preserve"> </w:t>
      </w:r>
    </w:p>
    <w:p xmlns:wp14="http://schemas.microsoft.com/office/word/2010/wordml" w:rsidR="002B7AFE" w:rsidRDefault="00745CCA" w14:paraId="0469BA87" wp14:textId="77777777">
      <w:pPr>
        <w:shd w:val="clear" w:color="auto" w:fill="FFFFFF"/>
        <w:jc w:val="center"/>
        <w:rPr>
          <w:rFonts w:ascii="Arial" w:hAnsi="Arial" w:eastAsia="Arial" w:cs="Arial"/>
        </w:rPr>
      </w:pPr>
      <w:r>
        <w:rPr>
          <w:rFonts w:ascii="Arial" w:hAnsi="Arial" w:eastAsia="Arial" w:cs="Arial"/>
        </w:rPr>
        <w:t xml:space="preserve">-o0o- </w:t>
      </w:r>
    </w:p>
    <w:p xmlns:wp14="http://schemas.microsoft.com/office/word/2010/wordml" w:rsidR="002B7AFE" w:rsidRDefault="00745CCA" w14:paraId="114320BC" wp14:textId="77777777">
      <w:pPr>
        <w:shd w:val="clear" w:color="auto" w:fill="FFFFFF"/>
        <w:jc w:val="both"/>
        <w:rPr>
          <w:rFonts w:ascii="Arial" w:hAnsi="Arial" w:eastAsia="Arial" w:cs="Arial"/>
          <w:sz w:val="18"/>
          <w:szCs w:val="18"/>
        </w:rPr>
      </w:pPr>
      <w:r>
        <w:rPr>
          <w:rFonts w:ascii="Arial" w:hAnsi="Arial" w:eastAsia="Arial" w:cs="Arial"/>
          <w:b/>
          <w:sz w:val="18"/>
          <w:szCs w:val="18"/>
        </w:rPr>
        <w:t>Sobre PayJoy</w:t>
      </w:r>
      <w:r>
        <w:rPr>
          <w:rFonts w:ascii="Arial" w:hAnsi="Arial" w:eastAsia="Arial" w:cs="Arial"/>
          <w:sz w:val="18"/>
          <w:szCs w:val="18"/>
        </w:rPr>
        <w:t xml:space="preserve"> </w:t>
      </w:r>
      <w:r>
        <w:rPr>
          <w:rFonts w:ascii="Arial" w:hAnsi="Arial" w:eastAsia="Arial" w:cs="Arial"/>
          <w:sz w:val="18"/>
          <w:szCs w:val="18"/>
        </w:rPr>
        <w:br/>
      </w:r>
      <w:r>
        <w:rPr>
          <w:rFonts w:ascii="Arial" w:hAnsi="Arial" w:eastAsia="Arial" w:cs="Arial"/>
          <w:sz w:val="18"/>
          <w:szCs w:val="18"/>
        </w:rPr>
        <w:t>PayJoy es una plataforma digital de financiamiento que facilita el acceso a tecnología y soluciones financieras para personas en mercados emergentes. A través de un modelo de financiamiento basado en tecnología de punta, PayJoy permite a los consumidores adquirir smartphones de forma fácil y accesible, impulsando su inclusión financiera y contribuyendo a su bienestar económico. Con un enfoque en la transparencia y la responsabilidad, PayJoy se dedica a transformar el panorama del crédito en regiones en de</w:t>
      </w:r>
      <w:r>
        <w:rPr>
          <w:rFonts w:ascii="Arial" w:hAnsi="Arial" w:eastAsia="Arial" w:cs="Arial"/>
          <w:sz w:val="18"/>
          <w:szCs w:val="18"/>
        </w:rPr>
        <w:t xml:space="preserve">sarrollo, ofreciendo soluciones adaptadas a las necesidades de cada usuario. Con un sólido historial de crecimiento y una visión clara para el futuro, PayJoy se posiciona como un líder en la transformación del crédito, proporcionando oportunidades de inversión atractivas en un sector con alta demanda. </w:t>
      </w:r>
    </w:p>
    <w:p xmlns:wp14="http://schemas.microsoft.com/office/word/2010/wordml" w:rsidR="002B7AFE" w:rsidRDefault="00745CCA" w14:paraId="0A6959E7" wp14:textId="77777777">
      <w:pPr>
        <w:shd w:val="clear" w:color="auto" w:fill="FFFFFF"/>
        <w:jc w:val="both"/>
        <w:rPr>
          <w:rFonts w:ascii="Arial" w:hAnsi="Arial" w:eastAsia="Arial" w:cs="Arial"/>
        </w:rPr>
      </w:pPr>
      <w:r>
        <w:rPr>
          <w:rFonts w:ascii="Arial" w:hAnsi="Arial" w:eastAsia="Arial" w:cs="Arial"/>
        </w:rPr>
        <w:t xml:space="preserve"> </w:t>
      </w:r>
    </w:p>
    <w:p xmlns:wp14="http://schemas.microsoft.com/office/word/2010/wordml" w:rsidR="002B7AFE" w:rsidRDefault="00745CCA" w14:paraId="100C5B58" wp14:textId="77777777">
      <w:pPr>
        <w:shd w:val="clear" w:color="auto" w:fill="FFFFFF"/>
        <w:jc w:val="both"/>
        <w:rPr>
          <w:rFonts w:ascii="Arial" w:hAnsi="Arial" w:eastAsia="Arial" w:cs="Arial"/>
        </w:rPr>
      </w:pPr>
      <w:r>
        <w:rPr>
          <w:rFonts w:ascii="Arial" w:hAnsi="Arial" w:eastAsia="Arial" w:cs="Arial"/>
        </w:rPr>
        <w:t xml:space="preserve"> </w:t>
      </w:r>
    </w:p>
    <w:p xmlns:wp14="http://schemas.microsoft.com/office/word/2010/wordml" w:rsidR="002B7AFE" w:rsidRDefault="002B7AFE" w14:paraId="672A6659" wp14:textId="77777777">
      <w:pPr>
        <w:jc w:val="both"/>
        <w:rPr>
          <w:b/>
          <w:sz w:val="36"/>
          <w:szCs w:val="36"/>
        </w:rPr>
      </w:pPr>
    </w:p>
    <w:p xmlns:wp14="http://schemas.microsoft.com/office/word/2010/wordml" w:rsidR="002B7AFE" w:rsidRDefault="002B7AFE" w14:paraId="0A37501D" wp14:textId="77777777">
      <w:pPr>
        <w:jc w:val="both"/>
      </w:pPr>
    </w:p>
    <w:sectPr w:rsidR="002B7AFE">
      <w:headerReference w:type="default" r:id="rId11"/>
      <w:footerReference w:type="default" r:id="rId12"/>
      <w:pgSz w:w="11906" w:h="16838"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745CCA" w:rsidRDefault="00745CCA" w14:paraId="0D0B940D" wp14:textId="77777777">
      <w:pPr>
        <w:spacing w:after="0" w:line="240" w:lineRule="auto"/>
      </w:pPr>
      <w:r>
        <w:separator/>
      </w:r>
    </w:p>
  </w:endnote>
  <w:endnote w:type="continuationSeparator" w:id="0">
    <w:p xmlns:wp14="http://schemas.microsoft.com/office/word/2010/wordml" w:rsidR="00745CCA" w:rsidRDefault="00745CCA" w14:paraId="0E27B00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2B7AFE" w:rsidRDefault="002B7AFE" w14:paraId="5DAB6C7B" wp14:textId="77777777">
    <w:pPr>
      <w:widowControl w:val="0"/>
      <w:pBdr>
        <w:top w:val="nil"/>
        <w:left w:val="nil"/>
        <w:bottom w:val="nil"/>
        <w:right w:val="nil"/>
        <w:between w:val="nil"/>
      </w:pBdr>
      <w:spacing w:after="0" w:line="276" w:lineRule="auto"/>
      <w:rPr>
        <w:color w:val="000000"/>
      </w:rPr>
    </w:pPr>
  </w:p>
  <w:tbl>
    <w:tblPr>
      <w:tblStyle w:val="a0"/>
      <w:tblW w:w="90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600" w:firstRow="0" w:lastRow="0" w:firstColumn="0" w:lastColumn="0" w:noHBand="1" w:noVBand="1"/>
    </w:tblPr>
    <w:tblGrid>
      <w:gridCol w:w="3005"/>
      <w:gridCol w:w="3005"/>
      <w:gridCol w:w="3005"/>
    </w:tblGrid>
    <w:tr xmlns:wp14="http://schemas.microsoft.com/office/word/2010/wordml" w:rsidR="002B7AFE" w14:paraId="02EB378F" wp14:textId="77777777">
      <w:trPr>
        <w:trHeight w:val="300"/>
      </w:trPr>
      <w:tc>
        <w:tcPr>
          <w:tcW w:w="3005" w:type="dxa"/>
        </w:tcPr>
        <w:p w:rsidR="002B7AFE" w:rsidRDefault="002B7AFE" w14:paraId="6A05A809" wp14:textId="77777777">
          <w:pPr>
            <w:pBdr>
              <w:top w:val="nil"/>
              <w:left w:val="nil"/>
              <w:bottom w:val="nil"/>
              <w:right w:val="nil"/>
              <w:between w:val="nil"/>
            </w:pBdr>
            <w:tabs>
              <w:tab w:val="center" w:pos="4680"/>
              <w:tab w:val="right" w:pos="9360"/>
            </w:tabs>
            <w:ind w:left="-115"/>
            <w:rPr>
              <w:color w:val="000000"/>
            </w:rPr>
          </w:pPr>
        </w:p>
      </w:tc>
      <w:tc>
        <w:tcPr>
          <w:tcW w:w="3005" w:type="dxa"/>
        </w:tcPr>
        <w:p w:rsidR="002B7AFE" w:rsidRDefault="002B7AFE" w14:paraId="5A39BBE3" wp14:textId="77777777">
          <w:pPr>
            <w:pBdr>
              <w:top w:val="nil"/>
              <w:left w:val="nil"/>
              <w:bottom w:val="nil"/>
              <w:right w:val="nil"/>
              <w:between w:val="nil"/>
            </w:pBdr>
            <w:tabs>
              <w:tab w:val="center" w:pos="4680"/>
              <w:tab w:val="right" w:pos="9360"/>
            </w:tabs>
            <w:jc w:val="center"/>
            <w:rPr>
              <w:color w:val="000000"/>
            </w:rPr>
          </w:pPr>
        </w:p>
      </w:tc>
      <w:tc>
        <w:tcPr>
          <w:tcW w:w="3005" w:type="dxa"/>
        </w:tcPr>
        <w:p w:rsidR="002B7AFE" w:rsidRDefault="002B7AFE" w14:paraId="41C8F396" wp14:textId="77777777">
          <w:pPr>
            <w:pBdr>
              <w:top w:val="nil"/>
              <w:left w:val="nil"/>
              <w:bottom w:val="nil"/>
              <w:right w:val="nil"/>
              <w:between w:val="nil"/>
            </w:pBdr>
            <w:tabs>
              <w:tab w:val="center" w:pos="4680"/>
              <w:tab w:val="right" w:pos="9360"/>
            </w:tabs>
            <w:ind w:right="-115"/>
            <w:jc w:val="right"/>
            <w:rPr>
              <w:color w:val="000000"/>
            </w:rPr>
          </w:pPr>
        </w:p>
      </w:tc>
    </w:tr>
  </w:tbl>
  <w:p xmlns:wp14="http://schemas.microsoft.com/office/word/2010/wordml" w:rsidR="002B7AFE" w:rsidRDefault="002B7AFE" w14:paraId="72A3D3EC" wp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745CCA" w:rsidRDefault="00745CCA" w14:paraId="049F31CB" wp14:textId="77777777">
      <w:pPr>
        <w:spacing w:after="0" w:line="240" w:lineRule="auto"/>
      </w:pPr>
      <w:r>
        <w:separator/>
      </w:r>
    </w:p>
  </w:footnote>
  <w:footnote w:type="continuationSeparator" w:id="0">
    <w:p xmlns:wp14="http://schemas.microsoft.com/office/word/2010/wordml" w:rsidR="00745CCA" w:rsidRDefault="00745CCA" w14:paraId="53128261"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xmlns:wp14="http://schemas.microsoft.com/office/word/2010/wordml" w:rsidR="002B7AFE" w:rsidRDefault="002B7AFE" w14:paraId="60061E4C" wp14:textId="77777777">
    <w:pPr>
      <w:widowControl w:val="0"/>
      <w:pBdr>
        <w:top w:val="nil"/>
        <w:left w:val="nil"/>
        <w:bottom w:val="nil"/>
        <w:right w:val="nil"/>
        <w:between w:val="nil"/>
      </w:pBdr>
      <w:spacing w:after="0" w:line="276" w:lineRule="auto"/>
    </w:pPr>
  </w:p>
  <w:tbl>
    <w:tblPr>
      <w:tblW w:w="9015" w:type="dxa"/>
      <w:tblBorders>
        <w:top w:val="none" w:color="000000" w:themeColor="text1" w:sz="12" w:space="0"/>
        <w:left w:val="none" w:color="000000" w:themeColor="text1" w:sz="12" w:space="0"/>
        <w:bottom w:val="none" w:color="000000" w:themeColor="text1" w:sz="12" w:space="0"/>
        <w:right w:val="none" w:color="000000" w:themeColor="text1" w:sz="12" w:space="0"/>
        <w:insideH w:val="none" w:color="000000" w:themeColor="text1" w:sz="12" w:space="0"/>
        <w:insideV w:val="none" w:color="000000" w:themeColor="text1" w:sz="12" w:space="0"/>
      </w:tblBorders>
      <w:tblLayout w:type="fixed"/>
      <w:tblLook w:val="0600" w:firstRow="0" w:lastRow="0" w:firstColumn="0" w:lastColumn="0" w:noHBand="1" w:noVBand="1"/>
    </w:tblPr>
    <w:tblGrid>
      <w:gridCol w:w="3005"/>
      <w:gridCol w:w="3005"/>
      <w:gridCol w:w="3005"/>
    </w:tblGrid>
    <w:tr xmlns:wp14="http://schemas.microsoft.com/office/word/2010/wordml" w:rsidR="002B7AFE" w:rsidTr="286D4451" w14:paraId="44EAFD9C" wp14:textId="77777777">
      <w:trPr>
        <w:trHeight w:val="300"/>
      </w:trPr>
      <w:tc>
        <w:tcPr>
          <w:tcW w:w="3005" w:type="dxa"/>
          <w:tcMar/>
        </w:tcPr>
        <w:p w:rsidR="002B7AFE" w:rsidRDefault="00745CCA" w14:paraId="4B94D5A5" wp14:textId="77777777">
          <w:pPr>
            <w:pBdr>
              <w:top w:val="nil"/>
              <w:left w:val="nil"/>
              <w:bottom w:val="nil"/>
              <w:right w:val="nil"/>
              <w:between w:val="nil"/>
            </w:pBdr>
            <w:tabs>
              <w:tab w:val="center" w:pos="4680"/>
              <w:tab w:val="right" w:pos="9360"/>
            </w:tabs>
            <w:ind w:left="-115"/>
            <w:rPr>
              <w:color w:val="000000"/>
            </w:rPr>
          </w:pPr>
          <w:r>
            <w:rPr>
              <w:noProof/>
              <w:color w:val="000000"/>
            </w:rPr>
            <w:drawing>
              <wp:inline xmlns:wp14="http://schemas.microsoft.com/office/word/2010/wordprocessingDrawing" distT="0" distB="0" distL="114300" distR="114300" wp14:anchorId="04C8D8A4" wp14:editId="7777777">
                <wp:extent cx="1685925" cy="295275"/>
                <wp:effectExtent l="0" t="0" r="0" b="0"/>
                <wp:docPr id="18415234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5925" cy="295275"/>
                        </a:xfrm>
                        <a:prstGeom prst="rect">
                          <a:avLst/>
                        </a:prstGeom>
                        <a:ln/>
                      </pic:spPr>
                    </pic:pic>
                  </a:graphicData>
                </a:graphic>
              </wp:inline>
            </w:drawing>
          </w:r>
          <w:r>
            <w:rPr>
              <w:color w:val="000000"/>
            </w:rPr>
            <w:br/>
          </w:r>
        </w:p>
      </w:tc>
      <w:tc>
        <w:tcPr>
          <w:tcW w:w="3005" w:type="dxa"/>
          <w:tcMar/>
        </w:tcPr>
        <w:p w:rsidR="002B7AFE" w:rsidRDefault="002B7AFE" w14:paraId="3DEEC669" wp14:textId="77777777">
          <w:pPr>
            <w:pBdr>
              <w:top w:val="nil"/>
              <w:left w:val="nil"/>
              <w:bottom w:val="nil"/>
              <w:right w:val="nil"/>
              <w:between w:val="nil"/>
            </w:pBdr>
            <w:tabs>
              <w:tab w:val="center" w:pos="4680"/>
              <w:tab w:val="right" w:pos="9360"/>
            </w:tabs>
            <w:jc w:val="center"/>
            <w:rPr>
              <w:color w:val="000000"/>
            </w:rPr>
          </w:pPr>
        </w:p>
      </w:tc>
      <w:tc>
        <w:tcPr>
          <w:tcW w:w="3005" w:type="dxa"/>
          <w:tcMar/>
        </w:tcPr>
        <w:p w:rsidR="002B7AFE" w:rsidRDefault="002B7AFE" w14:paraId="3656B9AB" wp14:textId="77777777">
          <w:pPr>
            <w:pBdr>
              <w:top w:val="nil"/>
              <w:left w:val="nil"/>
              <w:bottom w:val="nil"/>
              <w:right w:val="nil"/>
              <w:between w:val="nil"/>
            </w:pBdr>
            <w:tabs>
              <w:tab w:val="center" w:pos="4680"/>
              <w:tab w:val="right" w:pos="9360"/>
            </w:tabs>
            <w:ind w:right="-115"/>
            <w:jc w:val="right"/>
            <w:rPr>
              <w:color w:val="000000"/>
            </w:rPr>
          </w:pPr>
        </w:p>
      </w:tc>
    </w:tr>
  </w:tbl>
  <w:p xmlns:wp14="http://schemas.microsoft.com/office/word/2010/wordml" w:rsidR="002B7AFE" w:rsidRDefault="002B7AFE" w14:paraId="45FB0818" wp14:textId="7777777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AFE"/>
    <w:rsid w:val="002B7AFE"/>
    <w:rsid w:val="00745CCA"/>
    <w:rsid w:val="00C0A63C"/>
    <w:rsid w:val="00C7100F"/>
    <w:rsid w:val="28025D4A"/>
    <w:rsid w:val="286D4451"/>
    <w:rsid w:val="44DA2E2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DC4A8E9"/>
  <w15:docId w15:val="{0090D76F-29D2-41C0-947B-DDA787326EC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ptos" w:hAnsi="Aptos" w:eastAsia="Aptos" w:cs="Aptos"/>
        <w:sz w:val="24"/>
        <w:szCs w:val="24"/>
        <w:lang w:val="es-E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Pr>
      <w:color w:val="467886" w:themeColor="hyperlink"/>
      <w:u w:val="single"/>
    </w:r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anormal"/>
    <w:pPr>
      <w:spacing w:after="0" w:line="240" w:lineRule="auto"/>
    </w:pPr>
    <w:tblPr>
      <w:tblStyleRowBandSize w:val="1"/>
      <w:tblStyleColBandSize w:val="1"/>
    </w:tblPr>
  </w:style>
  <w:style w:type="table" w:styleId="a0" w:customStyle="1">
    <w:basedOn w:val="Tabla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yperlink" Target="https://www.banxico.org.mx/publicaciones-y-prensa/rib-creditos-personales/%7B01469D83-2BB3-A5CB-95E4-6B11ABEE2DED%7D.pdf" TargetMode="External" Id="rId10" /><Relationship Type="http://schemas.openxmlformats.org/officeDocument/2006/relationships/webSettings" Target="webSettings.xml" Id="rId4" /><Relationship Type="http://schemas.openxmlformats.org/officeDocument/2006/relationships/hyperlink" Target="https://www.banxico.org.mx/publicaciones-y-prensa/rib-creditos-personales/%7B01469D83-2BB3-A5CB-95E4-6B11ABEE2DED%7D.pdf" TargetMode="External" Id="rId9" /><Relationship Type="http://schemas.openxmlformats.org/officeDocument/2006/relationships/theme" Target="theme/theme1.xml" Id="rId14" /><Relationship Type="http://schemas.openxmlformats.org/officeDocument/2006/relationships/hyperlink" Target="https://www.abm.org.mx/sala-de-prensa/sintesis/historial/sintesis_2024_03_04.pdf" TargetMode="External" Id="R578314205b6b4cda" /><Relationship Type="http://schemas.openxmlformats.org/officeDocument/2006/relationships/hyperlink" Target="https://www.abm.org.mx/sala-de-prensa/sintesis/historial/sintesis_2024_03_04.pdf" TargetMode="External" Id="R1e7ca5c7c245416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duexAbPqXPERhhRJZY0KTRNTrg==">CgMxLjA4AHIhMXdFUm5ZVnRlYlNVelVhZk1pVGEtZm5mTnVyNXh5NHM4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Omar Ortega Jaime</dc:creator>
  <lastModifiedBy>Tanya Belmont Osornio</lastModifiedBy>
  <revision>3</revision>
  <dcterms:created xsi:type="dcterms:W3CDTF">2024-09-11T15:16:00.0000000Z</dcterms:created>
  <dcterms:modified xsi:type="dcterms:W3CDTF">2024-09-11T15:38:56.0784529Z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MediaServiceImageTags</vt:lpwstr>
  </property>
</Properties>
</file>